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67" w:rsidRPr="00116D67" w:rsidRDefault="00116D67" w:rsidP="00116D6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</w:pPr>
      <w:r w:rsidRPr="00116D67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Preistheorie</w:t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Lehre von der Preisbildung bei verschiedenen Marktformen. 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Im Mittelalter suchten die </w:t>
      </w:r>
      <w:proofErr w:type="spellStart"/>
      <w:r w:rsidRPr="00116D67">
        <w:rPr>
          <w:rFonts w:ascii="Arial" w:eastAsia="Times New Roman" w:hAnsi="Arial" w:cs="Arial"/>
          <w:sz w:val="28"/>
          <w:szCs w:val="28"/>
          <w:lang w:eastAsia="de-DE"/>
        </w:rPr>
        <w:t>Naturrechtler</w:t>
      </w:r>
      <w:proofErr w:type="spellEnd"/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 der Scholastik nach dem </w:t>
      </w:r>
      <w:r w:rsidRPr="00116D67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gerechten Preis</w:t>
      </w: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, zu dessen Bestimmung sie ethische Normen heranzogen. 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Die klassische Preistheorie (A. </w:t>
      </w:r>
      <w:hyperlink r:id="rId4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Smith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, D. </w:t>
      </w:r>
      <w:hyperlink r:id="rId5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Ricardo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) sah den preisbestimmenden Faktor in der zur Erzeugung der Güter aufgewandten Arbeit, 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K. </w:t>
      </w:r>
      <w:hyperlink r:id="rId6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Marx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 entwickelte aus der klassischen </w:t>
      </w:r>
      <w:r w:rsidRPr="00116D67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Arbeitsmengentheorie</w:t>
      </w: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 eine </w:t>
      </w:r>
      <w:r w:rsidRPr="00116D67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Arbeitssubstanztheorie</w:t>
      </w: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, nach der der Wert der Produkte durch die gesellschaftlich notwendige Arbeit bestimmt wird. </w:t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Die </w:t>
      </w:r>
      <w:hyperlink r:id="rId7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Grenznutzenschule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 baut auf den subjektiven Nutzenvorstellungen der Nachfrager und dem Marktmechanismus auf (H. H. </w:t>
      </w:r>
      <w:hyperlink r:id="rId8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Gossen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C. </w:t>
      </w:r>
      <w:hyperlink r:id="rId9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Menger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, W. S. </w:t>
      </w:r>
      <w:hyperlink r:id="rId10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Jevons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, L. </w:t>
      </w:r>
      <w:proofErr w:type="spellStart"/>
      <w:r w:rsidRPr="00116D67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Walras</w:t>
      </w:r>
      <w:proofErr w:type="spellEnd"/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). </w:t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Bei vollkommener Konkurrenz ist der Preis gleich den </w:t>
      </w:r>
      <w:hyperlink r:id="rId11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Grenzkosten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 des </w:t>
      </w:r>
      <w:r w:rsidRPr="00116D67">
        <w:rPr>
          <w:rFonts w:ascii="Arial" w:eastAsia="Times New Roman" w:hAnsi="Arial" w:cs="Arial"/>
          <w:sz w:val="28"/>
          <w:szCs w:val="28"/>
          <w:lang w:eastAsia="de-DE"/>
        </w:rPr>
        <w:t>am ungünstigsten produzierenden Anbieter</w:t>
      </w: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; </w:t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16D67">
        <w:rPr>
          <w:rFonts w:ascii="Arial" w:eastAsia="Times New Roman" w:hAnsi="Arial" w:cs="Arial"/>
          <w:sz w:val="28"/>
          <w:szCs w:val="28"/>
          <w:lang w:eastAsia="de-DE"/>
        </w:rPr>
        <w:t>der Monopolist verlangt den Preis, bei dem er die Menge absetzt, für die Grenzerlös und Grenzkosten gleich sind (</w:t>
      </w:r>
      <w:hyperlink r:id="rId12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Marktformen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). </w:t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bookmarkStart w:id="0" w:name="_GoBack"/>
      <w:bookmarkEnd w:id="0"/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Das bilaterale Monopol kennt keine eindeutige Regel für die Preisbildung. </w:t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Weil mit zunehmender </w:t>
      </w:r>
      <w:hyperlink r:id="rId13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Konzentration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 xml:space="preserve"> oligopolistische und teiloligopolistische Märkte immer häufiger werden, konzentrieren sich die Untersuchungen der neueren Preistheorie vor allem auf die Marktform des </w:t>
      </w:r>
      <w:hyperlink r:id="rId14" w:history="1">
        <w:r w:rsidRPr="00116D67">
          <w:rPr>
            <w:rFonts w:ascii="Arial" w:eastAsia="Times New Roman" w:hAnsi="Arial" w:cs="Arial"/>
            <w:sz w:val="28"/>
            <w:szCs w:val="28"/>
            <w:u w:val="single"/>
            <w:lang w:eastAsia="de-DE"/>
          </w:rPr>
          <w:t>Oligopols</w:t>
        </w:r>
      </w:hyperlink>
      <w:r w:rsidRPr="00116D67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16D67" w:rsidRPr="00116D67" w:rsidRDefault="00116D67" w:rsidP="00116D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62F41" w:rsidRPr="00116D67" w:rsidRDefault="00116D67">
      <w:pPr>
        <w:rPr>
          <w:rFonts w:ascii="Arial" w:hAnsi="Arial" w:cs="Arial"/>
        </w:rPr>
      </w:pPr>
      <w:r w:rsidRPr="00116D67">
        <w:rPr>
          <w:rFonts w:ascii="Arial" w:hAnsi="Arial" w:cs="Arial"/>
        </w:rPr>
        <w:t xml:space="preserve">Quelle: </w:t>
      </w:r>
      <w:r w:rsidRPr="00116D67">
        <w:rPr>
          <w:rFonts w:ascii="Arial" w:hAnsi="Arial" w:cs="Arial"/>
        </w:rPr>
        <w:t>https://www.wissen.de/lexikon/preistheorie</w:t>
      </w:r>
    </w:p>
    <w:sectPr w:rsidR="00062F41" w:rsidRPr="00116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67"/>
    <w:rsid w:val="00062F41"/>
    <w:rsid w:val="001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C781"/>
  <w15:chartTrackingRefBased/>
  <w15:docId w15:val="{C6AF4A09-BE95-4B77-8882-85283199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sen.de/lexikon/gossen-hermann-heinrich" TargetMode="External"/><Relationship Id="rId13" Type="http://schemas.openxmlformats.org/officeDocument/2006/relationships/hyperlink" Target="https://www.wissen.de/lexikon/konzentration-wirtschaf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ssen.de/lexikon/grenznutzenschule" TargetMode="External"/><Relationship Id="rId12" Type="http://schemas.openxmlformats.org/officeDocument/2006/relationships/hyperlink" Target="https://www.wissen.de/lexikon/marktform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issen.de/lexikon/marx-karl" TargetMode="External"/><Relationship Id="rId11" Type="http://schemas.openxmlformats.org/officeDocument/2006/relationships/hyperlink" Target="https://www.wissen.de/lexikon/grenzkosten" TargetMode="External"/><Relationship Id="rId5" Type="http://schemas.openxmlformats.org/officeDocument/2006/relationships/hyperlink" Target="https://www.wissen.de/lexikon/ricardo-davi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issen.de/lexikon/jevons-william-stanley" TargetMode="External"/><Relationship Id="rId4" Type="http://schemas.openxmlformats.org/officeDocument/2006/relationships/hyperlink" Target="https://www.wissen.de/lexikon/smith-adam" TargetMode="External"/><Relationship Id="rId9" Type="http://schemas.openxmlformats.org/officeDocument/2006/relationships/hyperlink" Target="https://www.wissen.de/lexikon/menger-carl" TargetMode="External"/><Relationship Id="rId14" Type="http://schemas.openxmlformats.org/officeDocument/2006/relationships/hyperlink" Target="https://www.wissen.de/lexikon/oligopo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saupp</dc:creator>
  <cp:keywords/>
  <dc:description/>
  <cp:lastModifiedBy>norbert saupp</cp:lastModifiedBy>
  <cp:revision>1</cp:revision>
  <dcterms:created xsi:type="dcterms:W3CDTF">2020-01-06T13:57:00Z</dcterms:created>
  <dcterms:modified xsi:type="dcterms:W3CDTF">2020-01-06T14:04:00Z</dcterms:modified>
</cp:coreProperties>
</file>